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30" w:rsidRPr="00560045" w:rsidRDefault="00250F30" w:rsidP="00250F30">
      <w:pPr>
        <w:tabs>
          <w:tab w:val="center" w:pos="4680"/>
        </w:tabs>
        <w:suppressAutoHyphens/>
        <w:jc w:val="center"/>
        <w:rPr>
          <w:b/>
          <w:i/>
          <w:spacing w:val="-3"/>
          <w:sz w:val="28"/>
          <w:szCs w:val="28"/>
        </w:rPr>
      </w:pPr>
      <w:bookmarkStart w:id="0" w:name="_GoBack"/>
      <w:bookmarkEnd w:id="0"/>
      <w:r w:rsidRPr="00560045">
        <w:rPr>
          <w:b/>
          <w:i/>
          <w:spacing w:val="-3"/>
          <w:sz w:val="28"/>
          <w:szCs w:val="28"/>
        </w:rPr>
        <w:t>ARTICLE VI</w:t>
      </w:r>
    </w:p>
    <w:p w:rsidR="00065774" w:rsidRPr="00560045" w:rsidRDefault="00065774">
      <w:pPr>
        <w:ind w:left="284" w:hanging="284"/>
        <w:jc w:val="center"/>
        <w:rPr>
          <w:rFonts w:ascii="New Century Schoolbook" w:hAnsi="New Century Schoolbook"/>
        </w:rPr>
      </w:pPr>
    </w:p>
    <w:p w:rsidR="00065774" w:rsidRPr="00560045" w:rsidRDefault="00250F30">
      <w:pPr>
        <w:ind w:left="284" w:hanging="284"/>
        <w:jc w:val="center"/>
        <w:rPr>
          <w:rFonts w:ascii="New Century Schoolbook" w:hAnsi="New Century Schoolbook"/>
          <w:b/>
          <w:sz w:val="36"/>
          <w:szCs w:val="36"/>
        </w:rPr>
      </w:pPr>
      <w:r w:rsidRPr="00560045">
        <w:rPr>
          <w:rFonts w:ascii="New Century Schoolbook" w:hAnsi="New Century Schoolbook"/>
          <w:b/>
          <w:sz w:val="36"/>
          <w:szCs w:val="36"/>
        </w:rPr>
        <w:t>La d</w:t>
      </w:r>
      <w:r w:rsidR="00065774" w:rsidRPr="00560045">
        <w:rPr>
          <w:rFonts w:ascii="New Century Schoolbook" w:hAnsi="New Century Schoolbook"/>
          <w:b/>
          <w:sz w:val="36"/>
          <w:szCs w:val="36"/>
        </w:rPr>
        <w:t>ynamophilie</w:t>
      </w:r>
    </w:p>
    <w:p w:rsidR="00065774" w:rsidRPr="00560045" w:rsidRDefault="00065774">
      <w:pPr>
        <w:ind w:left="284" w:hanging="284"/>
        <w:jc w:val="both"/>
        <w:rPr>
          <w:rFonts w:ascii="New Century Schoolbook" w:hAnsi="New Century Schoolbook"/>
          <w:b/>
        </w:rPr>
      </w:pPr>
    </w:p>
    <w:p w:rsidR="00065774" w:rsidRPr="00560045" w:rsidRDefault="00065774">
      <w:pPr>
        <w:jc w:val="both"/>
        <w:rPr>
          <w:sz w:val="24"/>
          <w:szCs w:val="24"/>
        </w:rPr>
      </w:pPr>
      <w:r w:rsidRPr="00560045">
        <w:rPr>
          <w:sz w:val="24"/>
          <w:szCs w:val="24"/>
        </w:rPr>
        <w:t>Toutes les compétitions de dynamophilie d</w:t>
      </w:r>
      <w:r w:rsidR="00250F30" w:rsidRPr="00560045">
        <w:rPr>
          <w:sz w:val="24"/>
          <w:szCs w:val="24"/>
        </w:rPr>
        <w:t>’Olympiques spéciaux Canada (</w:t>
      </w:r>
      <w:r w:rsidRPr="00560045">
        <w:rPr>
          <w:sz w:val="24"/>
          <w:szCs w:val="24"/>
        </w:rPr>
        <w:t>OSC) sont régies par le</w:t>
      </w:r>
      <w:r w:rsidR="00250F30" w:rsidRPr="00560045">
        <w:rPr>
          <w:sz w:val="24"/>
          <w:szCs w:val="24"/>
        </w:rPr>
        <w:t>s</w:t>
      </w:r>
      <w:r w:rsidRPr="00560045">
        <w:rPr>
          <w:sz w:val="24"/>
          <w:szCs w:val="24"/>
        </w:rPr>
        <w:t xml:space="preserve"> </w:t>
      </w:r>
      <w:r w:rsidRPr="00560045">
        <w:rPr>
          <w:i/>
          <w:sz w:val="24"/>
          <w:szCs w:val="24"/>
        </w:rPr>
        <w:t>Règlement</w:t>
      </w:r>
      <w:r w:rsidR="00250F30" w:rsidRPr="00560045">
        <w:rPr>
          <w:i/>
          <w:sz w:val="24"/>
          <w:szCs w:val="24"/>
        </w:rPr>
        <w:t>s</w:t>
      </w:r>
      <w:r w:rsidRPr="00560045">
        <w:rPr>
          <w:i/>
          <w:sz w:val="24"/>
          <w:szCs w:val="24"/>
        </w:rPr>
        <w:t xml:space="preserve"> sportif</w:t>
      </w:r>
      <w:r w:rsidR="00250F30" w:rsidRPr="00560045">
        <w:rPr>
          <w:i/>
          <w:sz w:val="24"/>
          <w:szCs w:val="24"/>
        </w:rPr>
        <w:t>s</w:t>
      </w:r>
      <w:r w:rsidRPr="00560045">
        <w:rPr>
          <w:i/>
          <w:sz w:val="24"/>
          <w:szCs w:val="24"/>
        </w:rPr>
        <w:t xml:space="preserve"> officiel</w:t>
      </w:r>
      <w:r w:rsidR="00250F30" w:rsidRPr="00560045">
        <w:rPr>
          <w:i/>
          <w:sz w:val="24"/>
          <w:szCs w:val="24"/>
        </w:rPr>
        <w:t>s</w:t>
      </w:r>
      <w:r w:rsidRPr="00560045">
        <w:rPr>
          <w:sz w:val="24"/>
          <w:szCs w:val="24"/>
        </w:rPr>
        <w:t xml:space="preserve"> de l’organisme. En tant qu</w:t>
      </w:r>
      <w:r w:rsidR="00250F30" w:rsidRPr="00560045">
        <w:rPr>
          <w:sz w:val="24"/>
          <w:szCs w:val="24"/>
        </w:rPr>
        <w:t xml:space="preserve">e programme national de sport, </w:t>
      </w:r>
      <w:r w:rsidRPr="00560045">
        <w:rPr>
          <w:sz w:val="24"/>
          <w:szCs w:val="24"/>
        </w:rPr>
        <w:t>OSC a aligné son règlement de dynamophilie sur ceux de l’International Powerlifting Federation (IPF) et de la Fédération haltérophile canadienne (FHC). Ces derniers s’appliquent donc, sauf en cas d’incompatibilité avec le</w:t>
      </w:r>
      <w:r w:rsidR="00250F30" w:rsidRPr="00560045">
        <w:rPr>
          <w:sz w:val="24"/>
          <w:szCs w:val="24"/>
        </w:rPr>
        <w:t>s</w:t>
      </w:r>
      <w:r w:rsidRPr="00560045">
        <w:rPr>
          <w:sz w:val="24"/>
          <w:szCs w:val="24"/>
        </w:rPr>
        <w:t xml:space="preserve"> </w:t>
      </w:r>
      <w:r w:rsidRPr="00560045">
        <w:rPr>
          <w:i/>
          <w:sz w:val="24"/>
          <w:szCs w:val="24"/>
        </w:rPr>
        <w:t>Règlement</w:t>
      </w:r>
      <w:r w:rsidR="00250F30" w:rsidRPr="00560045">
        <w:rPr>
          <w:i/>
          <w:sz w:val="24"/>
          <w:szCs w:val="24"/>
        </w:rPr>
        <w:t>s</w:t>
      </w:r>
      <w:r w:rsidRPr="00560045">
        <w:rPr>
          <w:i/>
          <w:sz w:val="24"/>
          <w:szCs w:val="24"/>
        </w:rPr>
        <w:t xml:space="preserve"> sportif</w:t>
      </w:r>
      <w:r w:rsidR="00250F30" w:rsidRPr="00560045">
        <w:rPr>
          <w:i/>
          <w:sz w:val="24"/>
          <w:szCs w:val="24"/>
        </w:rPr>
        <w:t>s</w:t>
      </w:r>
      <w:r w:rsidRPr="00560045">
        <w:rPr>
          <w:i/>
          <w:sz w:val="24"/>
          <w:szCs w:val="24"/>
        </w:rPr>
        <w:t xml:space="preserve"> officiel</w:t>
      </w:r>
      <w:r w:rsidR="00250F30" w:rsidRPr="00560045">
        <w:rPr>
          <w:i/>
          <w:sz w:val="24"/>
          <w:szCs w:val="24"/>
        </w:rPr>
        <w:t>s</w:t>
      </w:r>
      <w:r w:rsidRPr="00560045">
        <w:rPr>
          <w:sz w:val="24"/>
          <w:szCs w:val="24"/>
        </w:rPr>
        <w:t xml:space="preserve"> d</w:t>
      </w:r>
      <w:r w:rsidR="00250F30" w:rsidRPr="00560045">
        <w:rPr>
          <w:sz w:val="24"/>
          <w:szCs w:val="24"/>
        </w:rPr>
        <w:t>’</w:t>
      </w:r>
      <w:r w:rsidRPr="00560045">
        <w:rPr>
          <w:sz w:val="24"/>
          <w:szCs w:val="24"/>
        </w:rPr>
        <w:t xml:space="preserve">OSC, </w:t>
      </w:r>
      <w:r w:rsidR="00250F30" w:rsidRPr="00560045">
        <w:rPr>
          <w:sz w:val="24"/>
          <w:szCs w:val="24"/>
        </w:rPr>
        <w:t xml:space="preserve">auquel cas </w:t>
      </w:r>
      <w:r w:rsidRPr="00560045">
        <w:rPr>
          <w:sz w:val="24"/>
          <w:szCs w:val="24"/>
        </w:rPr>
        <w:t>les règles spécifiques suivantes s’appliquent.</w:t>
      </w:r>
    </w:p>
    <w:p w:rsidR="00065774" w:rsidRPr="00560045" w:rsidRDefault="00065774">
      <w:pPr>
        <w:jc w:val="both"/>
        <w:rPr>
          <w:rFonts w:ascii="New Century Schoolbook" w:hAnsi="New Century Schoolbook"/>
        </w:rPr>
      </w:pPr>
    </w:p>
    <w:p w:rsidR="00065774" w:rsidRPr="00560045" w:rsidRDefault="00065774">
      <w:pPr>
        <w:pStyle w:val="Heading3"/>
        <w:rPr>
          <w:rFonts w:ascii="New Century Schoolbook" w:hAnsi="New Century Schoolbook"/>
          <w:b/>
          <w:sz w:val="28"/>
          <w:szCs w:val="28"/>
        </w:rPr>
      </w:pPr>
      <w:r w:rsidRPr="00560045">
        <w:rPr>
          <w:rFonts w:ascii="New Century Schoolbook" w:hAnsi="New Century Schoolbook"/>
          <w:b/>
          <w:sz w:val="28"/>
          <w:szCs w:val="28"/>
        </w:rPr>
        <w:t>SECTION A</w:t>
      </w:r>
    </w:p>
    <w:p w:rsidR="00065774" w:rsidRPr="00560045" w:rsidRDefault="00065774">
      <w:pPr>
        <w:jc w:val="center"/>
        <w:rPr>
          <w:rFonts w:ascii="New Century Schoolbook" w:hAnsi="New Century Schoolbook"/>
        </w:rPr>
      </w:pPr>
    </w:p>
    <w:p w:rsidR="00065774" w:rsidRPr="00560045" w:rsidRDefault="00250F30">
      <w:pPr>
        <w:pStyle w:val="Heading4"/>
        <w:rPr>
          <w:rFonts w:ascii="New Century Schoolbook" w:hAnsi="New Century Schoolbook"/>
          <w:b/>
          <w:sz w:val="36"/>
          <w:szCs w:val="36"/>
        </w:rPr>
      </w:pPr>
      <w:r w:rsidRPr="00560045">
        <w:rPr>
          <w:rFonts w:ascii="New Century Schoolbook" w:hAnsi="New Century Schoolbook"/>
          <w:b/>
          <w:sz w:val="36"/>
          <w:szCs w:val="36"/>
        </w:rPr>
        <w:t>Épreuves o</w:t>
      </w:r>
      <w:r w:rsidR="00065774" w:rsidRPr="00560045">
        <w:rPr>
          <w:rFonts w:ascii="New Century Schoolbook" w:hAnsi="New Century Schoolbook"/>
          <w:b/>
          <w:sz w:val="36"/>
          <w:szCs w:val="36"/>
        </w:rPr>
        <w:t>fficielles</w:t>
      </w:r>
    </w:p>
    <w:p w:rsidR="00065774" w:rsidRPr="00560045" w:rsidRDefault="00065774">
      <w:pPr>
        <w:rPr>
          <w:rFonts w:ascii="New Century Schoolbook" w:hAnsi="New Century Schoolbook"/>
        </w:rPr>
      </w:pPr>
    </w:p>
    <w:p w:rsidR="00250F30" w:rsidRPr="00560045" w:rsidRDefault="00250F30" w:rsidP="00250F30">
      <w:pPr>
        <w:numPr>
          <w:ilvl w:val="0"/>
          <w:numId w:val="2"/>
        </w:numPr>
        <w:tabs>
          <w:tab w:val="clear" w:pos="2520"/>
          <w:tab w:val="num" w:pos="540"/>
          <w:tab w:val="left" w:pos="1440"/>
        </w:tabs>
        <w:spacing w:after="120"/>
        <w:ind w:hanging="2520"/>
        <w:rPr>
          <w:sz w:val="24"/>
          <w:szCs w:val="24"/>
        </w:rPr>
      </w:pPr>
      <w:r w:rsidRPr="00560045">
        <w:rPr>
          <w:sz w:val="24"/>
          <w:szCs w:val="24"/>
        </w:rPr>
        <w:t>Flexion des jambes</w:t>
      </w:r>
    </w:p>
    <w:p w:rsidR="00250F30" w:rsidRPr="00560045" w:rsidRDefault="00250F30" w:rsidP="00250F30">
      <w:pPr>
        <w:numPr>
          <w:ilvl w:val="0"/>
          <w:numId w:val="2"/>
        </w:numPr>
        <w:tabs>
          <w:tab w:val="clear" w:pos="2520"/>
          <w:tab w:val="num" w:pos="540"/>
          <w:tab w:val="left" w:pos="1440"/>
        </w:tabs>
        <w:spacing w:after="120"/>
        <w:ind w:hanging="2520"/>
        <w:rPr>
          <w:sz w:val="24"/>
          <w:szCs w:val="24"/>
        </w:rPr>
      </w:pPr>
      <w:r w:rsidRPr="00560045">
        <w:rPr>
          <w:sz w:val="24"/>
          <w:szCs w:val="24"/>
        </w:rPr>
        <w:t>Développé couché</w:t>
      </w:r>
    </w:p>
    <w:p w:rsidR="00065774" w:rsidRPr="00560045" w:rsidRDefault="00065774">
      <w:pPr>
        <w:numPr>
          <w:ilvl w:val="0"/>
          <w:numId w:val="2"/>
        </w:numPr>
        <w:tabs>
          <w:tab w:val="clear" w:pos="2520"/>
          <w:tab w:val="num" w:pos="540"/>
          <w:tab w:val="left" w:pos="1440"/>
        </w:tabs>
        <w:spacing w:after="120"/>
        <w:ind w:hanging="2520"/>
        <w:rPr>
          <w:sz w:val="24"/>
          <w:szCs w:val="24"/>
        </w:rPr>
      </w:pPr>
      <w:r w:rsidRPr="00560045">
        <w:rPr>
          <w:sz w:val="24"/>
          <w:szCs w:val="24"/>
        </w:rPr>
        <w:t>Soulevé de terre</w:t>
      </w:r>
    </w:p>
    <w:p w:rsidR="00065774" w:rsidRPr="00560045" w:rsidRDefault="00065774">
      <w:pPr>
        <w:pStyle w:val="Heading3"/>
        <w:rPr>
          <w:rFonts w:ascii="New Century Schoolbook" w:hAnsi="New Century Schoolbook"/>
          <w:b/>
          <w:sz w:val="28"/>
          <w:szCs w:val="28"/>
        </w:rPr>
      </w:pPr>
      <w:r w:rsidRPr="00560045">
        <w:rPr>
          <w:rFonts w:ascii="New Century Schoolbook" w:hAnsi="New Century Schoolbook"/>
          <w:b/>
          <w:sz w:val="28"/>
          <w:szCs w:val="28"/>
        </w:rPr>
        <w:t>SECTION B</w:t>
      </w:r>
    </w:p>
    <w:p w:rsidR="00065774" w:rsidRPr="00560045" w:rsidRDefault="00065774">
      <w:pPr>
        <w:jc w:val="center"/>
        <w:rPr>
          <w:rFonts w:ascii="New Century Schoolbook" w:hAnsi="New Century Schoolbook"/>
        </w:rPr>
      </w:pPr>
    </w:p>
    <w:p w:rsidR="00065774" w:rsidRPr="00560045" w:rsidRDefault="00250F30">
      <w:pPr>
        <w:pStyle w:val="Heading4"/>
        <w:rPr>
          <w:rFonts w:ascii="New Century Schoolbook" w:hAnsi="New Century Schoolbook"/>
          <w:b/>
          <w:sz w:val="36"/>
          <w:szCs w:val="36"/>
        </w:rPr>
      </w:pPr>
      <w:r w:rsidRPr="00560045">
        <w:rPr>
          <w:rFonts w:ascii="New Century Schoolbook" w:hAnsi="New Century Schoolbook"/>
          <w:b/>
          <w:sz w:val="36"/>
          <w:szCs w:val="36"/>
        </w:rPr>
        <w:t>Règles de c</w:t>
      </w:r>
      <w:r w:rsidR="00065774" w:rsidRPr="00560045">
        <w:rPr>
          <w:rFonts w:ascii="New Century Schoolbook" w:hAnsi="New Century Schoolbook"/>
          <w:b/>
          <w:sz w:val="36"/>
          <w:szCs w:val="36"/>
        </w:rPr>
        <w:t>ompétition</w:t>
      </w:r>
    </w:p>
    <w:p w:rsidR="00065774" w:rsidRPr="00560045" w:rsidRDefault="00065774">
      <w:pPr>
        <w:jc w:val="both"/>
        <w:rPr>
          <w:rFonts w:ascii="New Century Schoolbook" w:hAnsi="New Century Schoolbook"/>
          <w:sz w:val="26"/>
        </w:rPr>
      </w:pPr>
    </w:p>
    <w:p w:rsidR="001B0683" w:rsidRPr="00560045" w:rsidRDefault="00065774" w:rsidP="001B0683">
      <w:pPr>
        <w:pStyle w:val="BodyTextIndent"/>
        <w:numPr>
          <w:ilvl w:val="0"/>
          <w:numId w:val="8"/>
        </w:numPr>
        <w:tabs>
          <w:tab w:val="left" w:pos="360"/>
        </w:tabs>
        <w:rPr>
          <w:rFonts w:ascii="Times New Roman" w:hAnsi="Times New Roman"/>
          <w:sz w:val="24"/>
          <w:szCs w:val="24"/>
        </w:rPr>
      </w:pPr>
      <w:r w:rsidRPr="00560045">
        <w:rPr>
          <w:rFonts w:ascii="Times New Roman" w:hAnsi="Times New Roman"/>
          <w:sz w:val="24"/>
          <w:szCs w:val="24"/>
        </w:rPr>
        <w:t xml:space="preserve">Les </w:t>
      </w:r>
      <w:r w:rsidR="00250F30" w:rsidRPr="00560045">
        <w:rPr>
          <w:rFonts w:ascii="Times New Roman" w:hAnsi="Times New Roman"/>
          <w:sz w:val="24"/>
          <w:szCs w:val="24"/>
        </w:rPr>
        <w:t>compétitions nationales d’’Olympiques spéciaux Canada obéissent aux règles de l’IPF</w:t>
      </w:r>
      <w:r w:rsidR="00B07F27" w:rsidRPr="00560045">
        <w:rPr>
          <w:rFonts w:ascii="Times New Roman" w:hAnsi="Times New Roman"/>
          <w:sz w:val="24"/>
          <w:szCs w:val="24"/>
        </w:rPr>
        <w:t xml:space="preserve"> en classique</w:t>
      </w:r>
      <w:r w:rsidR="001B0683" w:rsidRPr="00560045">
        <w:rPr>
          <w:rFonts w:ascii="Times New Roman" w:hAnsi="Times New Roman"/>
          <w:sz w:val="24"/>
          <w:szCs w:val="24"/>
        </w:rPr>
        <w:t xml:space="preserve"> (compétitions sans équipement).</w:t>
      </w:r>
    </w:p>
    <w:p w:rsidR="001B0683" w:rsidRPr="00560045" w:rsidRDefault="001B0683" w:rsidP="001B0683">
      <w:pPr>
        <w:pStyle w:val="BodyTextIndent"/>
        <w:tabs>
          <w:tab w:val="left" w:pos="360"/>
        </w:tabs>
        <w:rPr>
          <w:rFonts w:ascii="Times New Roman" w:hAnsi="Times New Roman"/>
          <w:sz w:val="24"/>
          <w:szCs w:val="24"/>
        </w:rPr>
      </w:pPr>
    </w:p>
    <w:p w:rsidR="00065774" w:rsidRPr="00560045" w:rsidRDefault="00250F30" w:rsidP="001B0683">
      <w:pPr>
        <w:pStyle w:val="BodyTextIndent"/>
        <w:numPr>
          <w:ilvl w:val="0"/>
          <w:numId w:val="8"/>
        </w:numPr>
        <w:tabs>
          <w:tab w:val="left" w:pos="360"/>
        </w:tabs>
        <w:rPr>
          <w:rFonts w:ascii="Times New Roman" w:hAnsi="Times New Roman"/>
          <w:sz w:val="24"/>
          <w:szCs w:val="24"/>
        </w:rPr>
      </w:pPr>
      <w:r w:rsidRPr="00560045">
        <w:rPr>
          <w:rFonts w:ascii="Times New Roman" w:hAnsi="Times New Roman"/>
          <w:sz w:val="24"/>
          <w:szCs w:val="24"/>
        </w:rPr>
        <w:t xml:space="preserve"> </w:t>
      </w:r>
      <w:r w:rsidR="001B0683" w:rsidRPr="00560045">
        <w:rPr>
          <w:rFonts w:ascii="Times New Roman" w:hAnsi="Times New Roman"/>
          <w:sz w:val="24"/>
          <w:szCs w:val="24"/>
        </w:rPr>
        <w:t xml:space="preserve">Les </w:t>
      </w:r>
      <w:r w:rsidR="00065774" w:rsidRPr="00560045">
        <w:rPr>
          <w:rFonts w:ascii="Times New Roman" w:hAnsi="Times New Roman"/>
          <w:sz w:val="24"/>
          <w:szCs w:val="24"/>
        </w:rPr>
        <w:t>concurrents prennent obligatoirement part aux épreuves de soulevé de terre et de développé couché. L’épreuve de flexion des jambes est facultative.</w:t>
      </w:r>
    </w:p>
    <w:p w:rsidR="00065774" w:rsidRPr="00560045" w:rsidRDefault="00065774">
      <w:pPr>
        <w:rPr>
          <w:sz w:val="24"/>
          <w:szCs w:val="24"/>
        </w:rPr>
      </w:pPr>
    </w:p>
    <w:p w:rsidR="00065774" w:rsidRPr="00560045" w:rsidRDefault="00065774" w:rsidP="001B0683">
      <w:pPr>
        <w:pStyle w:val="BodyTextIndent2"/>
        <w:numPr>
          <w:ilvl w:val="0"/>
          <w:numId w:val="8"/>
        </w:numPr>
        <w:rPr>
          <w:color w:val="000000"/>
          <w:sz w:val="24"/>
        </w:rPr>
      </w:pPr>
      <w:r w:rsidRPr="00560045">
        <w:rPr>
          <w:color w:val="000000"/>
          <w:sz w:val="24"/>
        </w:rPr>
        <w:t>Un athlète qui échoue à tous ses essais en flexion de jambes accède quand même à l’épreuve du développé couché. Un athlète qui échoue à tous ses essais en développé couché accède quand même à l’épreuve du soulevé de terre.</w:t>
      </w:r>
    </w:p>
    <w:p w:rsidR="00065774" w:rsidRPr="00560045" w:rsidRDefault="00065774">
      <w:pPr>
        <w:ind w:left="425" w:hanging="425"/>
        <w:jc w:val="both"/>
        <w:rPr>
          <w:sz w:val="24"/>
          <w:szCs w:val="24"/>
        </w:rPr>
      </w:pPr>
    </w:p>
    <w:p w:rsidR="00065774" w:rsidRPr="00560045" w:rsidRDefault="00065774" w:rsidP="001B0683">
      <w:pPr>
        <w:pStyle w:val="ListParagraph"/>
        <w:numPr>
          <w:ilvl w:val="0"/>
          <w:numId w:val="8"/>
        </w:numPr>
        <w:jc w:val="both"/>
        <w:rPr>
          <w:sz w:val="24"/>
          <w:szCs w:val="24"/>
        </w:rPr>
      </w:pPr>
      <w:r w:rsidRPr="00560045">
        <w:rPr>
          <w:sz w:val="24"/>
          <w:szCs w:val="24"/>
        </w:rPr>
        <w:t xml:space="preserve">Les dynamophiles concourent dans des catégories établies en fonction du sexe, du poids et de l’âge des concurrents. Les catégories de poids commencent à </w:t>
      </w:r>
      <w:r w:rsidR="001B0683" w:rsidRPr="00560045">
        <w:rPr>
          <w:sz w:val="24"/>
          <w:szCs w:val="24"/>
        </w:rPr>
        <w:t>53 kg pour les hommes et à 43</w:t>
      </w:r>
      <w:r w:rsidRPr="00560045">
        <w:rPr>
          <w:sz w:val="24"/>
          <w:szCs w:val="24"/>
        </w:rPr>
        <w:t> kg pour les femmes.</w:t>
      </w:r>
    </w:p>
    <w:p w:rsidR="001B0683" w:rsidRPr="00560045" w:rsidRDefault="001B0683" w:rsidP="001B0683">
      <w:pPr>
        <w:pStyle w:val="ListParagraph"/>
        <w:rPr>
          <w:sz w:val="24"/>
          <w:szCs w:val="24"/>
        </w:rPr>
      </w:pPr>
    </w:p>
    <w:p w:rsidR="001B0683" w:rsidRPr="00560045" w:rsidRDefault="001B0683" w:rsidP="001B0683">
      <w:pPr>
        <w:autoSpaceDE w:val="0"/>
        <w:autoSpaceDN w:val="0"/>
        <w:adjustRightInd w:val="0"/>
        <w:ind w:firstLine="720"/>
        <w:rPr>
          <w:b/>
          <w:bCs/>
          <w:color w:val="000000"/>
          <w:sz w:val="24"/>
          <w:szCs w:val="24"/>
        </w:rPr>
      </w:pPr>
      <w:r w:rsidRPr="00560045">
        <w:rPr>
          <w:b/>
          <w:bCs/>
          <w:color w:val="000000"/>
          <w:sz w:val="24"/>
          <w:szCs w:val="24"/>
        </w:rPr>
        <w:t>HOMMES</w:t>
      </w:r>
    </w:p>
    <w:p w:rsidR="001B0683" w:rsidRPr="00560045" w:rsidRDefault="00A83ED8" w:rsidP="001B0683">
      <w:pPr>
        <w:autoSpaceDE w:val="0"/>
        <w:autoSpaceDN w:val="0"/>
        <w:adjustRightInd w:val="0"/>
        <w:ind w:firstLine="720"/>
        <w:rPr>
          <w:color w:val="000000"/>
          <w:sz w:val="24"/>
          <w:szCs w:val="24"/>
        </w:rPr>
      </w:pPr>
      <w:r w:rsidRPr="00560045">
        <w:rPr>
          <w:color w:val="000000"/>
          <w:sz w:val="24"/>
          <w:szCs w:val="24"/>
        </w:rPr>
        <w:t>53,00 kg : j</w:t>
      </w:r>
      <w:r w:rsidR="00693193" w:rsidRPr="00560045">
        <w:rPr>
          <w:color w:val="000000"/>
          <w:sz w:val="24"/>
          <w:szCs w:val="24"/>
        </w:rPr>
        <w:t xml:space="preserve">usqu’à </w:t>
      </w:r>
      <w:r w:rsidR="001B0683" w:rsidRPr="00560045">
        <w:rPr>
          <w:color w:val="000000"/>
          <w:sz w:val="24"/>
          <w:szCs w:val="24"/>
        </w:rPr>
        <w:t>53</w:t>
      </w:r>
      <w:r w:rsidR="00693193" w:rsidRPr="00560045">
        <w:rPr>
          <w:color w:val="000000"/>
          <w:sz w:val="24"/>
          <w:szCs w:val="24"/>
        </w:rPr>
        <w:t>,</w:t>
      </w:r>
      <w:r w:rsidRPr="00560045">
        <w:rPr>
          <w:color w:val="000000"/>
          <w:sz w:val="24"/>
          <w:szCs w:val="24"/>
        </w:rPr>
        <w:t>00</w:t>
      </w:r>
      <w:r w:rsidR="001B0683"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59</w:t>
      </w:r>
      <w:r w:rsidR="0067663F" w:rsidRPr="00560045">
        <w:rPr>
          <w:color w:val="000000"/>
          <w:sz w:val="24"/>
          <w:szCs w:val="24"/>
        </w:rPr>
        <w:t>,</w:t>
      </w:r>
      <w:r w:rsidR="00A83ED8" w:rsidRPr="00560045">
        <w:rPr>
          <w:color w:val="000000"/>
          <w:sz w:val="24"/>
          <w:szCs w:val="24"/>
        </w:rPr>
        <w:t>00</w:t>
      </w:r>
      <w:r w:rsidR="0067663F" w:rsidRPr="00560045">
        <w:rPr>
          <w:color w:val="000000"/>
          <w:sz w:val="24"/>
          <w:szCs w:val="24"/>
        </w:rPr>
        <w:t xml:space="preserve"> kg : </w:t>
      </w:r>
      <w:r w:rsidR="00A83ED8" w:rsidRPr="00560045">
        <w:rPr>
          <w:color w:val="000000"/>
          <w:sz w:val="24"/>
          <w:szCs w:val="24"/>
        </w:rPr>
        <w:t>de 53,01 kg à</w:t>
      </w:r>
      <w:r w:rsidR="0067663F" w:rsidRPr="00560045">
        <w:rPr>
          <w:color w:val="000000"/>
          <w:sz w:val="24"/>
          <w:szCs w:val="24"/>
        </w:rPr>
        <w:t xml:space="preserve"> </w:t>
      </w:r>
      <w:r w:rsidRPr="00560045">
        <w:rPr>
          <w:color w:val="000000"/>
          <w:sz w:val="24"/>
          <w:szCs w:val="24"/>
        </w:rPr>
        <w:t>59</w:t>
      </w:r>
      <w:r w:rsidR="0067663F" w:rsidRPr="00560045">
        <w:rPr>
          <w:color w:val="000000"/>
          <w:sz w:val="24"/>
          <w:szCs w:val="24"/>
        </w:rPr>
        <w:t>,</w:t>
      </w:r>
      <w:r w:rsidR="00A83ED8" w:rsidRPr="00560045">
        <w:rPr>
          <w:color w:val="000000"/>
          <w:sz w:val="24"/>
          <w:szCs w:val="24"/>
        </w:rPr>
        <w:t>00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66</w:t>
      </w:r>
      <w:r w:rsidR="0067663F" w:rsidRPr="00560045">
        <w:rPr>
          <w:color w:val="000000"/>
          <w:sz w:val="24"/>
          <w:szCs w:val="24"/>
        </w:rPr>
        <w:t>,</w:t>
      </w:r>
      <w:r w:rsidR="00A83ED8" w:rsidRPr="00560045">
        <w:rPr>
          <w:color w:val="000000"/>
          <w:sz w:val="24"/>
          <w:szCs w:val="24"/>
        </w:rPr>
        <w:t>00</w:t>
      </w:r>
      <w:r w:rsidRPr="00560045">
        <w:rPr>
          <w:color w:val="000000"/>
          <w:sz w:val="24"/>
          <w:szCs w:val="24"/>
        </w:rPr>
        <w:t xml:space="preserve"> kg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de </w:t>
      </w:r>
      <w:r w:rsidRPr="00560045">
        <w:rPr>
          <w:color w:val="000000"/>
          <w:sz w:val="24"/>
          <w:szCs w:val="24"/>
        </w:rPr>
        <w:t>59</w:t>
      </w:r>
      <w:r w:rsidR="0067663F" w:rsidRPr="00560045">
        <w:rPr>
          <w:color w:val="000000"/>
          <w:sz w:val="24"/>
          <w:szCs w:val="24"/>
        </w:rPr>
        <w:t>,</w:t>
      </w:r>
      <w:r w:rsidRPr="00560045">
        <w:rPr>
          <w:color w:val="000000"/>
          <w:sz w:val="24"/>
          <w:szCs w:val="24"/>
        </w:rPr>
        <w:t xml:space="preserve">01 </w:t>
      </w:r>
      <w:r w:rsidR="0067663F" w:rsidRPr="00560045">
        <w:rPr>
          <w:color w:val="000000"/>
          <w:sz w:val="24"/>
          <w:szCs w:val="24"/>
        </w:rPr>
        <w:t xml:space="preserve">à </w:t>
      </w:r>
      <w:r w:rsidRPr="00560045">
        <w:rPr>
          <w:color w:val="000000"/>
          <w:sz w:val="24"/>
          <w:szCs w:val="24"/>
        </w:rPr>
        <w:t>66</w:t>
      </w:r>
      <w:r w:rsidR="0067663F" w:rsidRPr="00560045">
        <w:rPr>
          <w:color w:val="000000"/>
          <w:sz w:val="24"/>
          <w:szCs w:val="24"/>
        </w:rPr>
        <w:t>,</w:t>
      </w:r>
      <w:r w:rsidR="00A83ED8" w:rsidRPr="00560045">
        <w:rPr>
          <w:color w:val="000000"/>
          <w:sz w:val="24"/>
          <w:szCs w:val="24"/>
        </w:rPr>
        <w:t>00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74</w:t>
      </w:r>
      <w:r w:rsidR="0067663F" w:rsidRPr="00560045">
        <w:rPr>
          <w:color w:val="000000"/>
          <w:sz w:val="24"/>
          <w:szCs w:val="24"/>
        </w:rPr>
        <w:t>,</w:t>
      </w:r>
      <w:r w:rsidR="00A83ED8" w:rsidRPr="00560045">
        <w:rPr>
          <w:color w:val="000000"/>
          <w:sz w:val="24"/>
          <w:szCs w:val="24"/>
        </w:rPr>
        <w:t>00</w:t>
      </w:r>
      <w:r w:rsidRPr="00560045">
        <w:rPr>
          <w:color w:val="000000"/>
          <w:sz w:val="24"/>
          <w:szCs w:val="24"/>
        </w:rPr>
        <w:t xml:space="preserve"> kg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de </w:t>
      </w:r>
      <w:r w:rsidRPr="00560045">
        <w:rPr>
          <w:color w:val="000000"/>
          <w:sz w:val="24"/>
          <w:szCs w:val="24"/>
        </w:rPr>
        <w:t>66</w:t>
      </w:r>
      <w:r w:rsidR="0067663F" w:rsidRPr="00560045">
        <w:rPr>
          <w:color w:val="000000"/>
          <w:sz w:val="24"/>
          <w:szCs w:val="24"/>
        </w:rPr>
        <w:t>,</w:t>
      </w:r>
      <w:r w:rsidRPr="00560045">
        <w:rPr>
          <w:color w:val="000000"/>
          <w:sz w:val="24"/>
          <w:szCs w:val="24"/>
        </w:rPr>
        <w:t xml:space="preserve">01 </w:t>
      </w:r>
      <w:r w:rsidR="0067663F" w:rsidRPr="00560045">
        <w:rPr>
          <w:color w:val="000000"/>
          <w:sz w:val="24"/>
          <w:szCs w:val="24"/>
        </w:rPr>
        <w:t>à</w:t>
      </w:r>
      <w:r w:rsidRPr="00560045">
        <w:rPr>
          <w:color w:val="000000"/>
          <w:sz w:val="24"/>
          <w:szCs w:val="24"/>
        </w:rPr>
        <w:t xml:space="preserve"> 74</w:t>
      </w:r>
      <w:r w:rsidR="0067663F" w:rsidRPr="00560045">
        <w:rPr>
          <w:color w:val="000000"/>
          <w:sz w:val="24"/>
          <w:szCs w:val="24"/>
        </w:rPr>
        <w:t>,</w:t>
      </w:r>
      <w:r w:rsidR="00A83ED8" w:rsidRPr="00560045">
        <w:rPr>
          <w:color w:val="000000"/>
          <w:sz w:val="24"/>
          <w:szCs w:val="24"/>
        </w:rPr>
        <w:t>00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lastRenderedPageBreak/>
        <w:t>83</w:t>
      </w:r>
      <w:r w:rsidR="0067663F" w:rsidRPr="00560045">
        <w:rPr>
          <w:color w:val="000000"/>
          <w:sz w:val="24"/>
          <w:szCs w:val="24"/>
        </w:rPr>
        <w:t>,</w:t>
      </w:r>
      <w:r w:rsidR="00A83ED8" w:rsidRPr="00560045">
        <w:rPr>
          <w:color w:val="000000"/>
          <w:sz w:val="24"/>
          <w:szCs w:val="24"/>
        </w:rPr>
        <w:t>00</w:t>
      </w:r>
      <w:r w:rsidRPr="00560045">
        <w:rPr>
          <w:color w:val="000000"/>
          <w:sz w:val="24"/>
          <w:szCs w:val="24"/>
        </w:rPr>
        <w:t xml:space="preserve"> kg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de </w:t>
      </w:r>
      <w:r w:rsidRPr="00560045">
        <w:rPr>
          <w:color w:val="000000"/>
          <w:sz w:val="24"/>
          <w:szCs w:val="24"/>
        </w:rPr>
        <w:t>74</w:t>
      </w:r>
      <w:r w:rsidR="0067663F" w:rsidRPr="00560045">
        <w:rPr>
          <w:color w:val="000000"/>
          <w:sz w:val="24"/>
          <w:szCs w:val="24"/>
        </w:rPr>
        <w:t>,</w:t>
      </w:r>
      <w:r w:rsidRPr="00560045">
        <w:rPr>
          <w:color w:val="000000"/>
          <w:sz w:val="24"/>
          <w:szCs w:val="24"/>
        </w:rPr>
        <w:t xml:space="preserve">01 kg </w:t>
      </w:r>
      <w:r w:rsidR="0067663F" w:rsidRPr="00560045">
        <w:rPr>
          <w:color w:val="000000"/>
          <w:sz w:val="24"/>
          <w:szCs w:val="24"/>
        </w:rPr>
        <w:t>à</w:t>
      </w:r>
      <w:r w:rsidRPr="00560045">
        <w:rPr>
          <w:color w:val="000000"/>
          <w:sz w:val="24"/>
          <w:szCs w:val="24"/>
        </w:rPr>
        <w:t xml:space="preserve"> 83</w:t>
      </w:r>
      <w:r w:rsidR="0067663F" w:rsidRPr="00560045">
        <w:rPr>
          <w:color w:val="000000"/>
          <w:sz w:val="24"/>
          <w:szCs w:val="24"/>
        </w:rPr>
        <w:t>,</w:t>
      </w:r>
      <w:r w:rsidR="00A83ED8" w:rsidRPr="00560045">
        <w:rPr>
          <w:color w:val="000000"/>
          <w:sz w:val="24"/>
          <w:szCs w:val="24"/>
        </w:rPr>
        <w:t>00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93</w:t>
      </w:r>
      <w:r w:rsidR="0067663F" w:rsidRPr="00560045">
        <w:rPr>
          <w:color w:val="000000"/>
          <w:sz w:val="24"/>
          <w:szCs w:val="24"/>
        </w:rPr>
        <w:t>,</w:t>
      </w:r>
      <w:r w:rsidR="00A83ED8" w:rsidRPr="00560045">
        <w:rPr>
          <w:color w:val="000000"/>
          <w:sz w:val="24"/>
          <w:szCs w:val="24"/>
        </w:rPr>
        <w:t>00</w:t>
      </w:r>
      <w:r w:rsidRPr="00560045">
        <w:rPr>
          <w:color w:val="000000"/>
          <w:sz w:val="24"/>
          <w:szCs w:val="24"/>
        </w:rPr>
        <w:t xml:space="preserve"> kg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de </w:t>
      </w:r>
      <w:r w:rsidRPr="00560045">
        <w:rPr>
          <w:color w:val="000000"/>
          <w:sz w:val="24"/>
          <w:szCs w:val="24"/>
        </w:rPr>
        <w:t>83</w:t>
      </w:r>
      <w:r w:rsidR="0067663F" w:rsidRPr="00560045">
        <w:rPr>
          <w:color w:val="000000"/>
          <w:sz w:val="24"/>
          <w:szCs w:val="24"/>
        </w:rPr>
        <w:t>,</w:t>
      </w:r>
      <w:r w:rsidRPr="00560045">
        <w:rPr>
          <w:color w:val="000000"/>
          <w:sz w:val="24"/>
          <w:szCs w:val="24"/>
        </w:rPr>
        <w:t xml:space="preserve">01 kg </w:t>
      </w:r>
      <w:r w:rsidR="0067663F" w:rsidRPr="00560045">
        <w:rPr>
          <w:color w:val="000000"/>
          <w:sz w:val="24"/>
          <w:szCs w:val="24"/>
        </w:rPr>
        <w:t>à</w:t>
      </w:r>
      <w:r w:rsidRPr="00560045">
        <w:rPr>
          <w:color w:val="000000"/>
          <w:sz w:val="24"/>
          <w:szCs w:val="24"/>
        </w:rPr>
        <w:t xml:space="preserve"> 93</w:t>
      </w:r>
      <w:r w:rsidR="0067663F" w:rsidRPr="00560045">
        <w:rPr>
          <w:color w:val="000000"/>
          <w:sz w:val="24"/>
          <w:szCs w:val="24"/>
        </w:rPr>
        <w:t>,</w:t>
      </w:r>
      <w:r w:rsidR="00A83ED8" w:rsidRPr="00560045">
        <w:rPr>
          <w:color w:val="000000"/>
          <w:sz w:val="24"/>
          <w:szCs w:val="24"/>
        </w:rPr>
        <w:t>00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105</w:t>
      </w:r>
      <w:r w:rsidR="0067663F" w:rsidRPr="00560045">
        <w:rPr>
          <w:color w:val="000000"/>
          <w:sz w:val="24"/>
          <w:szCs w:val="24"/>
        </w:rPr>
        <w:t>,</w:t>
      </w:r>
      <w:r w:rsidR="00A83ED8" w:rsidRPr="00560045">
        <w:rPr>
          <w:color w:val="000000"/>
          <w:sz w:val="24"/>
          <w:szCs w:val="24"/>
        </w:rPr>
        <w:t>00</w:t>
      </w:r>
      <w:r w:rsidRPr="00560045">
        <w:rPr>
          <w:color w:val="000000"/>
          <w:sz w:val="24"/>
          <w:szCs w:val="24"/>
        </w:rPr>
        <w:t xml:space="preserve"> kg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de </w:t>
      </w:r>
      <w:r w:rsidRPr="00560045">
        <w:rPr>
          <w:color w:val="000000"/>
          <w:sz w:val="24"/>
          <w:szCs w:val="24"/>
        </w:rPr>
        <w:t>93</w:t>
      </w:r>
      <w:r w:rsidR="0067663F" w:rsidRPr="00560045">
        <w:rPr>
          <w:color w:val="000000"/>
          <w:sz w:val="24"/>
          <w:szCs w:val="24"/>
        </w:rPr>
        <w:t>,</w:t>
      </w:r>
      <w:r w:rsidRPr="00560045">
        <w:rPr>
          <w:color w:val="000000"/>
          <w:sz w:val="24"/>
          <w:szCs w:val="24"/>
        </w:rPr>
        <w:t xml:space="preserve">01 kg </w:t>
      </w:r>
      <w:r w:rsidR="0067663F" w:rsidRPr="00560045">
        <w:rPr>
          <w:color w:val="000000"/>
          <w:sz w:val="24"/>
          <w:szCs w:val="24"/>
        </w:rPr>
        <w:t>à</w:t>
      </w:r>
      <w:r w:rsidRPr="00560045">
        <w:rPr>
          <w:color w:val="000000"/>
          <w:sz w:val="24"/>
          <w:szCs w:val="24"/>
        </w:rPr>
        <w:t xml:space="preserve"> 1</w:t>
      </w:r>
      <w:r w:rsidR="00A83ED8" w:rsidRPr="00560045">
        <w:rPr>
          <w:color w:val="000000"/>
          <w:sz w:val="24"/>
          <w:szCs w:val="24"/>
        </w:rPr>
        <w:t>0</w:t>
      </w:r>
      <w:r w:rsidRPr="00560045">
        <w:rPr>
          <w:color w:val="000000"/>
          <w:sz w:val="24"/>
          <w:szCs w:val="24"/>
        </w:rPr>
        <w:t>5</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120</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de </w:t>
      </w:r>
      <w:r w:rsidRPr="00560045">
        <w:rPr>
          <w:color w:val="000000"/>
          <w:sz w:val="24"/>
          <w:szCs w:val="24"/>
        </w:rPr>
        <w:t>105</w:t>
      </w:r>
      <w:r w:rsidR="0067663F" w:rsidRPr="00560045">
        <w:rPr>
          <w:color w:val="000000"/>
          <w:sz w:val="24"/>
          <w:szCs w:val="24"/>
        </w:rPr>
        <w:t>,</w:t>
      </w:r>
      <w:r w:rsidRPr="00560045">
        <w:rPr>
          <w:color w:val="000000"/>
          <w:sz w:val="24"/>
          <w:szCs w:val="24"/>
        </w:rPr>
        <w:t xml:space="preserve">01 kg </w:t>
      </w:r>
      <w:r w:rsidR="0067663F" w:rsidRPr="00560045">
        <w:rPr>
          <w:color w:val="000000"/>
          <w:sz w:val="24"/>
          <w:szCs w:val="24"/>
        </w:rPr>
        <w:t>à</w:t>
      </w:r>
      <w:r w:rsidRPr="00560045">
        <w:rPr>
          <w:color w:val="000000"/>
          <w:sz w:val="24"/>
          <w:szCs w:val="24"/>
        </w:rPr>
        <w:t xml:space="preserve"> 120</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120</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0067663F" w:rsidRPr="00560045">
        <w:rPr>
          <w:color w:val="000000"/>
          <w:sz w:val="24"/>
          <w:szCs w:val="24"/>
        </w:rPr>
        <w:t> </w:t>
      </w:r>
      <w:r w:rsidRPr="00560045">
        <w:rPr>
          <w:color w:val="000000"/>
          <w:sz w:val="24"/>
          <w:szCs w:val="24"/>
        </w:rPr>
        <w:t>kg</w:t>
      </w:r>
      <w:r w:rsidR="0067663F" w:rsidRPr="00560045">
        <w:rPr>
          <w:color w:val="000000"/>
          <w:sz w:val="24"/>
          <w:szCs w:val="24"/>
        </w:rPr>
        <w:t xml:space="preserve"> et +</w:t>
      </w:r>
      <w:r w:rsidRPr="00560045">
        <w:rPr>
          <w:color w:val="000000"/>
          <w:sz w:val="24"/>
          <w:szCs w:val="24"/>
        </w:rPr>
        <w:t xml:space="preserve">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à partir de </w:t>
      </w:r>
      <w:r w:rsidRPr="00560045">
        <w:rPr>
          <w:color w:val="000000"/>
          <w:sz w:val="24"/>
          <w:szCs w:val="24"/>
        </w:rPr>
        <w:t>120</w:t>
      </w:r>
      <w:r w:rsidR="0067663F" w:rsidRPr="00560045">
        <w:rPr>
          <w:color w:val="000000"/>
          <w:sz w:val="24"/>
          <w:szCs w:val="24"/>
        </w:rPr>
        <w:t>,</w:t>
      </w:r>
      <w:r w:rsidRPr="00560045">
        <w:rPr>
          <w:color w:val="000000"/>
          <w:sz w:val="24"/>
          <w:szCs w:val="24"/>
        </w:rPr>
        <w:t xml:space="preserve">01 kg </w:t>
      </w:r>
    </w:p>
    <w:p w:rsidR="001B0683" w:rsidRPr="00560045" w:rsidRDefault="001B0683" w:rsidP="001B0683">
      <w:pPr>
        <w:autoSpaceDE w:val="0"/>
        <w:autoSpaceDN w:val="0"/>
        <w:adjustRightInd w:val="0"/>
        <w:ind w:firstLine="720"/>
        <w:rPr>
          <w:b/>
          <w:bCs/>
          <w:color w:val="000000"/>
          <w:sz w:val="24"/>
          <w:szCs w:val="24"/>
        </w:rPr>
      </w:pPr>
    </w:p>
    <w:p w:rsidR="001B0683" w:rsidRPr="00560045" w:rsidRDefault="00A83ED8" w:rsidP="001B0683">
      <w:pPr>
        <w:autoSpaceDE w:val="0"/>
        <w:autoSpaceDN w:val="0"/>
        <w:adjustRightInd w:val="0"/>
        <w:ind w:firstLine="720"/>
        <w:rPr>
          <w:color w:val="000000"/>
          <w:sz w:val="24"/>
          <w:szCs w:val="24"/>
        </w:rPr>
      </w:pPr>
      <w:r w:rsidRPr="00560045">
        <w:rPr>
          <w:b/>
          <w:bCs/>
          <w:color w:val="000000"/>
          <w:sz w:val="24"/>
          <w:szCs w:val="24"/>
        </w:rPr>
        <w:t>FEMMES</w:t>
      </w:r>
      <w:r w:rsidR="001B0683" w:rsidRPr="00560045">
        <w:rPr>
          <w:b/>
          <w:bCs/>
          <w:color w:val="000000"/>
          <w:sz w:val="24"/>
          <w:szCs w:val="24"/>
        </w:rPr>
        <w:t xml:space="preserve">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43</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w:t>
      </w:r>
      <w:r w:rsidR="00A83ED8" w:rsidRPr="00560045">
        <w:rPr>
          <w:color w:val="000000"/>
          <w:sz w:val="24"/>
          <w:szCs w:val="24"/>
        </w:rPr>
        <w:t> : jusqu’à 43,00 kg</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47</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w:t>
      </w:r>
      <w:r w:rsidR="00A83ED8" w:rsidRPr="00560045">
        <w:rPr>
          <w:color w:val="000000"/>
          <w:sz w:val="24"/>
          <w:szCs w:val="24"/>
        </w:rPr>
        <w:t xml:space="preserve"> : de 43,01 kg à </w:t>
      </w:r>
      <w:r w:rsidRPr="00560045">
        <w:rPr>
          <w:color w:val="000000"/>
          <w:sz w:val="24"/>
          <w:szCs w:val="24"/>
        </w:rPr>
        <w:t>47</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52</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de </w:t>
      </w:r>
      <w:r w:rsidRPr="00560045">
        <w:rPr>
          <w:color w:val="000000"/>
          <w:sz w:val="24"/>
          <w:szCs w:val="24"/>
        </w:rPr>
        <w:t>47</w:t>
      </w:r>
      <w:r w:rsidR="0067663F" w:rsidRPr="00560045">
        <w:rPr>
          <w:color w:val="000000"/>
          <w:sz w:val="24"/>
          <w:szCs w:val="24"/>
        </w:rPr>
        <w:t>,</w:t>
      </w:r>
      <w:r w:rsidRPr="00560045">
        <w:rPr>
          <w:color w:val="000000"/>
          <w:sz w:val="24"/>
          <w:szCs w:val="24"/>
        </w:rPr>
        <w:t xml:space="preserve">01 kg </w:t>
      </w:r>
      <w:r w:rsidR="0067663F" w:rsidRPr="00560045">
        <w:rPr>
          <w:color w:val="000000"/>
          <w:sz w:val="24"/>
          <w:szCs w:val="24"/>
        </w:rPr>
        <w:t>à</w:t>
      </w:r>
      <w:r w:rsidRPr="00560045">
        <w:rPr>
          <w:color w:val="000000"/>
          <w:sz w:val="24"/>
          <w:szCs w:val="24"/>
        </w:rPr>
        <w:t xml:space="preserve"> 52</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57</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de </w:t>
      </w:r>
      <w:r w:rsidRPr="00560045">
        <w:rPr>
          <w:color w:val="000000"/>
          <w:sz w:val="24"/>
          <w:szCs w:val="24"/>
        </w:rPr>
        <w:t>52</w:t>
      </w:r>
      <w:r w:rsidR="0067663F" w:rsidRPr="00560045">
        <w:rPr>
          <w:color w:val="000000"/>
          <w:sz w:val="24"/>
          <w:szCs w:val="24"/>
        </w:rPr>
        <w:t>,</w:t>
      </w:r>
      <w:r w:rsidRPr="00560045">
        <w:rPr>
          <w:color w:val="000000"/>
          <w:sz w:val="24"/>
          <w:szCs w:val="24"/>
        </w:rPr>
        <w:t xml:space="preserve">01 kg </w:t>
      </w:r>
      <w:r w:rsidR="0067663F" w:rsidRPr="00560045">
        <w:rPr>
          <w:color w:val="000000"/>
          <w:sz w:val="24"/>
          <w:szCs w:val="24"/>
        </w:rPr>
        <w:t>à</w:t>
      </w:r>
      <w:r w:rsidRPr="00560045">
        <w:rPr>
          <w:color w:val="000000"/>
          <w:sz w:val="24"/>
          <w:szCs w:val="24"/>
        </w:rPr>
        <w:t xml:space="preserve"> 57</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63</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de </w:t>
      </w:r>
      <w:r w:rsidRPr="00560045">
        <w:rPr>
          <w:color w:val="000000"/>
          <w:sz w:val="24"/>
          <w:szCs w:val="24"/>
        </w:rPr>
        <w:t>57</w:t>
      </w:r>
      <w:r w:rsidR="0067663F" w:rsidRPr="00560045">
        <w:rPr>
          <w:color w:val="000000"/>
          <w:sz w:val="24"/>
          <w:szCs w:val="24"/>
        </w:rPr>
        <w:t>,</w:t>
      </w:r>
      <w:r w:rsidRPr="00560045">
        <w:rPr>
          <w:color w:val="000000"/>
          <w:sz w:val="24"/>
          <w:szCs w:val="24"/>
        </w:rPr>
        <w:t xml:space="preserve">01 kg </w:t>
      </w:r>
      <w:r w:rsidR="0067663F" w:rsidRPr="00560045">
        <w:rPr>
          <w:color w:val="000000"/>
          <w:sz w:val="24"/>
          <w:szCs w:val="24"/>
        </w:rPr>
        <w:t>à</w:t>
      </w:r>
      <w:r w:rsidRPr="00560045">
        <w:rPr>
          <w:color w:val="000000"/>
          <w:sz w:val="24"/>
          <w:szCs w:val="24"/>
        </w:rPr>
        <w:t xml:space="preserve"> 63</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72</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de </w:t>
      </w:r>
      <w:r w:rsidRPr="00560045">
        <w:rPr>
          <w:color w:val="000000"/>
          <w:sz w:val="24"/>
          <w:szCs w:val="24"/>
        </w:rPr>
        <w:t>63</w:t>
      </w:r>
      <w:r w:rsidR="0067663F" w:rsidRPr="00560045">
        <w:rPr>
          <w:color w:val="000000"/>
          <w:sz w:val="24"/>
          <w:szCs w:val="24"/>
        </w:rPr>
        <w:t>,</w:t>
      </w:r>
      <w:r w:rsidRPr="00560045">
        <w:rPr>
          <w:color w:val="000000"/>
          <w:sz w:val="24"/>
          <w:szCs w:val="24"/>
        </w:rPr>
        <w:t xml:space="preserve">01 kg </w:t>
      </w:r>
      <w:r w:rsidR="0067663F" w:rsidRPr="00560045">
        <w:rPr>
          <w:color w:val="000000"/>
          <w:sz w:val="24"/>
          <w:szCs w:val="24"/>
        </w:rPr>
        <w:t>à</w:t>
      </w:r>
      <w:r w:rsidRPr="00560045">
        <w:rPr>
          <w:color w:val="000000"/>
          <w:sz w:val="24"/>
          <w:szCs w:val="24"/>
        </w:rPr>
        <w:t xml:space="preserve"> 72</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p>
    <w:p w:rsidR="001B0683" w:rsidRPr="00560045" w:rsidRDefault="001B0683" w:rsidP="001B0683">
      <w:pPr>
        <w:autoSpaceDE w:val="0"/>
        <w:autoSpaceDN w:val="0"/>
        <w:adjustRightInd w:val="0"/>
        <w:ind w:firstLine="720"/>
        <w:rPr>
          <w:color w:val="000000"/>
          <w:sz w:val="24"/>
          <w:szCs w:val="24"/>
        </w:rPr>
      </w:pPr>
      <w:r w:rsidRPr="00560045">
        <w:rPr>
          <w:color w:val="000000"/>
          <w:sz w:val="24"/>
          <w:szCs w:val="24"/>
        </w:rPr>
        <w:t>84</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r w:rsidR="0067663F" w:rsidRPr="00560045">
        <w:rPr>
          <w:color w:val="000000"/>
          <w:sz w:val="24"/>
          <w:szCs w:val="24"/>
        </w:rPr>
        <w:t>:</w:t>
      </w:r>
      <w:r w:rsidRPr="00560045">
        <w:rPr>
          <w:color w:val="000000"/>
          <w:sz w:val="24"/>
          <w:szCs w:val="24"/>
        </w:rPr>
        <w:t xml:space="preserve"> </w:t>
      </w:r>
      <w:r w:rsidR="0067663F" w:rsidRPr="00560045">
        <w:rPr>
          <w:color w:val="000000"/>
          <w:sz w:val="24"/>
          <w:szCs w:val="24"/>
        </w:rPr>
        <w:t xml:space="preserve">de </w:t>
      </w:r>
      <w:r w:rsidRPr="00560045">
        <w:rPr>
          <w:color w:val="000000"/>
          <w:sz w:val="24"/>
          <w:szCs w:val="24"/>
        </w:rPr>
        <w:t>72</w:t>
      </w:r>
      <w:r w:rsidR="0067663F" w:rsidRPr="00560045">
        <w:rPr>
          <w:color w:val="000000"/>
          <w:sz w:val="24"/>
          <w:szCs w:val="24"/>
        </w:rPr>
        <w:t>,</w:t>
      </w:r>
      <w:r w:rsidRPr="00560045">
        <w:rPr>
          <w:color w:val="000000"/>
          <w:sz w:val="24"/>
          <w:szCs w:val="24"/>
        </w:rPr>
        <w:t xml:space="preserve">01 kg </w:t>
      </w:r>
      <w:r w:rsidR="0067663F" w:rsidRPr="00560045">
        <w:rPr>
          <w:color w:val="000000"/>
          <w:sz w:val="24"/>
          <w:szCs w:val="24"/>
        </w:rPr>
        <w:t>à</w:t>
      </w:r>
      <w:r w:rsidRPr="00560045">
        <w:rPr>
          <w:color w:val="000000"/>
          <w:sz w:val="24"/>
          <w:szCs w:val="24"/>
        </w:rPr>
        <w:t xml:space="preserve"> 84</w:t>
      </w:r>
      <w:r w:rsidR="0067663F" w:rsidRPr="00560045">
        <w:rPr>
          <w:color w:val="000000"/>
          <w:sz w:val="24"/>
          <w:szCs w:val="24"/>
        </w:rPr>
        <w:t>,</w:t>
      </w:r>
      <w:r w:rsidRPr="00560045">
        <w:rPr>
          <w:color w:val="000000"/>
          <w:sz w:val="24"/>
          <w:szCs w:val="24"/>
        </w:rPr>
        <w:t>0</w:t>
      </w:r>
      <w:r w:rsidR="00A83ED8" w:rsidRPr="00560045">
        <w:rPr>
          <w:color w:val="000000"/>
          <w:sz w:val="24"/>
          <w:szCs w:val="24"/>
        </w:rPr>
        <w:t>0</w:t>
      </w:r>
      <w:r w:rsidRPr="00560045">
        <w:rPr>
          <w:color w:val="000000"/>
          <w:sz w:val="24"/>
          <w:szCs w:val="24"/>
        </w:rPr>
        <w:t xml:space="preserve"> kg </w:t>
      </w:r>
    </w:p>
    <w:p w:rsidR="00A83ED8" w:rsidRPr="00560045" w:rsidRDefault="001B0683" w:rsidP="0067663F">
      <w:pPr>
        <w:ind w:left="360" w:firstLine="360"/>
        <w:jc w:val="both"/>
        <w:rPr>
          <w:sz w:val="24"/>
          <w:szCs w:val="24"/>
        </w:rPr>
      </w:pPr>
      <w:r w:rsidRPr="00560045">
        <w:rPr>
          <w:sz w:val="24"/>
          <w:szCs w:val="24"/>
        </w:rPr>
        <w:t>84</w:t>
      </w:r>
      <w:r w:rsidR="0067663F" w:rsidRPr="00560045">
        <w:rPr>
          <w:sz w:val="24"/>
          <w:szCs w:val="24"/>
        </w:rPr>
        <w:t>,</w:t>
      </w:r>
      <w:r w:rsidRPr="00560045">
        <w:rPr>
          <w:sz w:val="24"/>
          <w:szCs w:val="24"/>
        </w:rPr>
        <w:t>0</w:t>
      </w:r>
      <w:r w:rsidR="00A83ED8" w:rsidRPr="00560045">
        <w:rPr>
          <w:sz w:val="24"/>
          <w:szCs w:val="24"/>
        </w:rPr>
        <w:t>0</w:t>
      </w:r>
      <w:r w:rsidRPr="00560045">
        <w:rPr>
          <w:sz w:val="24"/>
          <w:szCs w:val="24"/>
        </w:rPr>
        <w:t xml:space="preserve"> kg</w:t>
      </w:r>
      <w:r w:rsidR="00A83ED8" w:rsidRPr="00560045">
        <w:rPr>
          <w:sz w:val="24"/>
          <w:szCs w:val="24"/>
        </w:rPr>
        <w:t xml:space="preserve"> et +</w:t>
      </w:r>
      <w:r w:rsidRPr="00560045">
        <w:rPr>
          <w:sz w:val="24"/>
          <w:szCs w:val="24"/>
        </w:rPr>
        <w:t xml:space="preserve"> </w:t>
      </w:r>
      <w:r w:rsidR="0067663F" w:rsidRPr="00560045">
        <w:rPr>
          <w:sz w:val="24"/>
          <w:szCs w:val="24"/>
        </w:rPr>
        <w:t xml:space="preserve">: </w:t>
      </w:r>
      <w:r w:rsidR="00A83ED8" w:rsidRPr="00560045">
        <w:rPr>
          <w:sz w:val="24"/>
          <w:szCs w:val="24"/>
        </w:rPr>
        <w:t xml:space="preserve">à partir de </w:t>
      </w:r>
      <w:r w:rsidR="0067663F" w:rsidRPr="00560045">
        <w:rPr>
          <w:sz w:val="24"/>
          <w:szCs w:val="24"/>
        </w:rPr>
        <w:t>84,01 kg</w:t>
      </w:r>
    </w:p>
    <w:p w:rsidR="00065774" w:rsidRPr="00560045" w:rsidRDefault="0067663F" w:rsidP="0067663F">
      <w:pPr>
        <w:ind w:left="360" w:firstLine="360"/>
        <w:jc w:val="both"/>
        <w:rPr>
          <w:sz w:val="24"/>
          <w:szCs w:val="24"/>
        </w:rPr>
      </w:pPr>
      <w:r w:rsidRPr="00560045">
        <w:rPr>
          <w:sz w:val="24"/>
          <w:szCs w:val="24"/>
        </w:rPr>
        <w:t xml:space="preserve"> </w:t>
      </w:r>
    </w:p>
    <w:p w:rsidR="00065774" w:rsidRPr="00560045" w:rsidRDefault="00080882" w:rsidP="001B0683">
      <w:pPr>
        <w:pStyle w:val="ListParagraph"/>
        <w:numPr>
          <w:ilvl w:val="0"/>
          <w:numId w:val="8"/>
        </w:numPr>
        <w:jc w:val="both"/>
        <w:rPr>
          <w:sz w:val="24"/>
          <w:szCs w:val="24"/>
        </w:rPr>
      </w:pPr>
      <w:r w:rsidRPr="00560045">
        <w:rPr>
          <w:sz w:val="24"/>
          <w:szCs w:val="24"/>
        </w:rPr>
        <w:t xml:space="preserve">On retient le meilleur essai réussi </w:t>
      </w:r>
      <w:r w:rsidR="00594AC5" w:rsidRPr="00560045">
        <w:rPr>
          <w:sz w:val="24"/>
          <w:szCs w:val="24"/>
        </w:rPr>
        <w:t xml:space="preserve">à chaque </w:t>
      </w:r>
      <w:r w:rsidRPr="00560045">
        <w:rPr>
          <w:sz w:val="24"/>
          <w:szCs w:val="24"/>
        </w:rPr>
        <w:t>épreuve pour établir le total d’un concurrent.</w:t>
      </w:r>
    </w:p>
    <w:p w:rsidR="00065774" w:rsidRPr="00560045" w:rsidRDefault="00065774">
      <w:pPr>
        <w:ind w:left="425" w:hanging="425"/>
        <w:jc w:val="both"/>
        <w:rPr>
          <w:sz w:val="24"/>
          <w:szCs w:val="24"/>
        </w:rPr>
      </w:pPr>
    </w:p>
    <w:p w:rsidR="00065774" w:rsidRPr="00560045" w:rsidRDefault="00065774" w:rsidP="001B0683">
      <w:pPr>
        <w:pStyle w:val="ListParagraph"/>
        <w:numPr>
          <w:ilvl w:val="0"/>
          <w:numId w:val="8"/>
        </w:numPr>
        <w:jc w:val="both"/>
        <w:rPr>
          <w:sz w:val="24"/>
          <w:szCs w:val="24"/>
        </w:rPr>
      </w:pPr>
      <w:r w:rsidRPr="00560045">
        <w:rPr>
          <w:sz w:val="24"/>
          <w:szCs w:val="24"/>
        </w:rPr>
        <w:t>Le vainqueur dans une catégorie est le dynamophile qui a réalisé le total le plus élevé. Les autres concurrents sont classés par ordre décroissant de leurs totaux respectifs.</w:t>
      </w:r>
    </w:p>
    <w:p w:rsidR="00065774" w:rsidRPr="00560045" w:rsidRDefault="00065774">
      <w:pPr>
        <w:ind w:left="425" w:hanging="425"/>
        <w:jc w:val="both"/>
        <w:rPr>
          <w:color w:val="000000"/>
          <w:sz w:val="24"/>
          <w:szCs w:val="24"/>
        </w:rPr>
      </w:pPr>
    </w:p>
    <w:p w:rsidR="00065774" w:rsidRPr="00560045" w:rsidRDefault="00065774" w:rsidP="001B0683">
      <w:pPr>
        <w:pStyle w:val="ListParagraph"/>
        <w:numPr>
          <w:ilvl w:val="0"/>
          <w:numId w:val="8"/>
        </w:numPr>
        <w:tabs>
          <w:tab w:val="left" w:pos="360"/>
          <w:tab w:val="left" w:pos="900"/>
        </w:tabs>
        <w:rPr>
          <w:color w:val="000000"/>
          <w:sz w:val="24"/>
          <w:szCs w:val="24"/>
        </w:rPr>
      </w:pPr>
      <w:r w:rsidRPr="00560045">
        <w:rPr>
          <w:color w:val="000000"/>
          <w:sz w:val="24"/>
          <w:szCs w:val="24"/>
        </w:rPr>
        <w:t xml:space="preserve">On </w:t>
      </w:r>
      <w:r w:rsidR="00080882" w:rsidRPr="00560045">
        <w:rPr>
          <w:color w:val="000000"/>
          <w:sz w:val="24"/>
          <w:szCs w:val="24"/>
        </w:rPr>
        <w:t xml:space="preserve">ne calcule pas de total </w:t>
      </w:r>
      <w:r w:rsidRPr="00560045">
        <w:rPr>
          <w:color w:val="000000"/>
          <w:sz w:val="24"/>
          <w:szCs w:val="24"/>
        </w:rPr>
        <w:t>dans le cas d’un échec aux trois essais</w:t>
      </w:r>
      <w:r w:rsidR="00080882" w:rsidRPr="00560045">
        <w:rPr>
          <w:color w:val="000000"/>
          <w:sz w:val="24"/>
          <w:szCs w:val="24"/>
        </w:rPr>
        <w:t xml:space="preserve"> </w:t>
      </w:r>
      <w:r w:rsidR="00594AC5" w:rsidRPr="00560045">
        <w:rPr>
          <w:color w:val="000000"/>
          <w:sz w:val="24"/>
          <w:szCs w:val="24"/>
        </w:rPr>
        <w:t>d</w:t>
      </w:r>
      <w:r w:rsidR="00080882" w:rsidRPr="00560045">
        <w:rPr>
          <w:color w:val="000000"/>
          <w:sz w:val="24"/>
          <w:szCs w:val="24"/>
        </w:rPr>
        <w:t xml:space="preserve">u développé couché </w:t>
      </w:r>
      <w:r w:rsidR="00594AC5" w:rsidRPr="00560045">
        <w:rPr>
          <w:color w:val="000000"/>
          <w:sz w:val="24"/>
          <w:szCs w:val="24"/>
        </w:rPr>
        <w:t>ou d</w:t>
      </w:r>
      <w:r w:rsidR="00080882" w:rsidRPr="00560045">
        <w:rPr>
          <w:color w:val="000000"/>
          <w:sz w:val="24"/>
          <w:szCs w:val="24"/>
        </w:rPr>
        <w:t xml:space="preserve">u soulevé de terre. </w:t>
      </w:r>
    </w:p>
    <w:p w:rsidR="00065774" w:rsidRPr="00560045" w:rsidRDefault="00065774">
      <w:pPr>
        <w:rPr>
          <w:color w:val="000000"/>
          <w:sz w:val="24"/>
          <w:szCs w:val="24"/>
        </w:rPr>
      </w:pPr>
    </w:p>
    <w:p w:rsidR="00065774" w:rsidRPr="00560045" w:rsidRDefault="00065774" w:rsidP="001B0683">
      <w:pPr>
        <w:pStyle w:val="ListParagraph"/>
        <w:numPr>
          <w:ilvl w:val="0"/>
          <w:numId w:val="8"/>
        </w:numPr>
        <w:tabs>
          <w:tab w:val="left" w:pos="900"/>
        </w:tabs>
        <w:rPr>
          <w:color w:val="000000"/>
          <w:sz w:val="24"/>
          <w:szCs w:val="24"/>
        </w:rPr>
      </w:pPr>
      <w:r w:rsidRPr="00560045">
        <w:rPr>
          <w:color w:val="000000"/>
          <w:sz w:val="24"/>
          <w:szCs w:val="24"/>
        </w:rPr>
        <w:t>La formule Wilks sert à déterminer les meilleurs dynamophiles au combiné des deux épreuves, ou les meilleurs mouvements individuels sans égard au poids de l’athlète.</w:t>
      </w:r>
    </w:p>
    <w:p w:rsidR="00065774" w:rsidRPr="00560045" w:rsidRDefault="00065774">
      <w:pPr>
        <w:rPr>
          <w:color w:val="000000"/>
          <w:sz w:val="24"/>
          <w:szCs w:val="24"/>
        </w:rPr>
      </w:pPr>
    </w:p>
    <w:p w:rsidR="00065774" w:rsidRPr="00560045" w:rsidRDefault="00065774" w:rsidP="001B0683">
      <w:pPr>
        <w:pStyle w:val="ListParagraph"/>
        <w:numPr>
          <w:ilvl w:val="0"/>
          <w:numId w:val="8"/>
        </w:numPr>
        <w:tabs>
          <w:tab w:val="left" w:pos="900"/>
        </w:tabs>
        <w:rPr>
          <w:color w:val="000000"/>
          <w:sz w:val="24"/>
          <w:szCs w:val="24"/>
        </w:rPr>
      </w:pPr>
      <w:r w:rsidRPr="00560045">
        <w:rPr>
          <w:color w:val="000000"/>
          <w:sz w:val="24"/>
          <w:szCs w:val="24"/>
        </w:rPr>
        <w:t>Les entraîneurs sont autorisés à « installer » leurs athlètes en vue d’un essai. Ils peuvent espacer les mains de l’athlète sur la barre avant de quitter le plateau. L’athlète doit attendre que l’entraîneur ait quitté le plateau avant d’amorcer son mouvement. Pour l’exécution d’un développé couché, l’entraîneur peut placer les mains de l’athlète en position, mais ne doit pas aider celui-ci à soulever la barre de l’appui-barre; cette responsabilité incombe aux chargeurs ou aux assistants. Un seul entraîneur est admis autour du plateau. Un entraîneur peut donner des signaux verbaux à un athlète.</w:t>
      </w:r>
    </w:p>
    <w:p w:rsidR="00065774" w:rsidRPr="00560045" w:rsidRDefault="00065774">
      <w:pPr>
        <w:rPr>
          <w:color w:val="000000"/>
          <w:sz w:val="24"/>
          <w:szCs w:val="24"/>
        </w:rPr>
      </w:pPr>
    </w:p>
    <w:p w:rsidR="00065774" w:rsidRPr="00560045" w:rsidRDefault="00065774" w:rsidP="001B0683">
      <w:pPr>
        <w:pStyle w:val="ListParagraph"/>
        <w:numPr>
          <w:ilvl w:val="0"/>
          <w:numId w:val="8"/>
        </w:numPr>
        <w:tabs>
          <w:tab w:val="left" w:pos="900"/>
        </w:tabs>
        <w:rPr>
          <w:color w:val="000000"/>
          <w:sz w:val="24"/>
          <w:szCs w:val="24"/>
        </w:rPr>
      </w:pPr>
      <w:r w:rsidRPr="00560045">
        <w:rPr>
          <w:color w:val="000000"/>
          <w:sz w:val="24"/>
          <w:szCs w:val="24"/>
        </w:rPr>
        <w:t>Avant chaque séance de dynamophilie, le juge en chef doit réunir tous les concurrents et les entraîneurs pour une brève révision des règles, une démonstration de chaque mouvement ainsi qu’une revue des signaux d’arbitrage.</w:t>
      </w:r>
    </w:p>
    <w:p w:rsidR="00065774" w:rsidRPr="00560045" w:rsidRDefault="00065774">
      <w:pPr>
        <w:rPr>
          <w:color w:val="000000"/>
          <w:sz w:val="24"/>
          <w:szCs w:val="24"/>
        </w:rPr>
      </w:pPr>
    </w:p>
    <w:p w:rsidR="00065774" w:rsidRPr="00560045" w:rsidRDefault="00065774" w:rsidP="00080882">
      <w:pPr>
        <w:pStyle w:val="ListParagraph"/>
        <w:numPr>
          <w:ilvl w:val="0"/>
          <w:numId w:val="8"/>
        </w:numPr>
        <w:tabs>
          <w:tab w:val="left" w:pos="900"/>
        </w:tabs>
        <w:rPr>
          <w:color w:val="000000"/>
          <w:sz w:val="24"/>
          <w:szCs w:val="24"/>
        </w:rPr>
      </w:pPr>
      <w:r w:rsidRPr="00560045">
        <w:rPr>
          <w:color w:val="000000"/>
          <w:sz w:val="24"/>
          <w:szCs w:val="24"/>
        </w:rPr>
        <w:t>Le juge en chef est le seul autorisé à aviser dans le cas d’une erreur de chargement ou d’une annonce erronée. Il transmet sa décision à l’annonceur, lequel fait l’annonce appropriée.</w:t>
      </w:r>
    </w:p>
    <w:p w:rsidR="00065774" w:rsidRPr="00560045" w:rsidRDefault="00065774">
      <w:pPr>
        <w:pStyle w:val="Heading2"/>
        <w:ind w:left="540"/>
        <w:rPr>
          <w:rFonts w:ascii="New Century Schoolbook" w:hAnsi="New Century Schoolbook"/>
          <w:b/>
          <w:sz w:val="28"/>
          <w:szCs w:val="28"/>
        </w:rPr>
      </w:pPr>
      <w:r w:rsidRPr="00560045">
        <w:rPr>
          <w:rFonts w:ascii="New Century Schoolbook" w:hAnsi="New Century Schoolbook"/>
          <w:b/>
          <w:sz w:val="28"/>
          <w:szCs w:val="28"/>
        </w:rPr>
        <w:lastRenderedPageBreak/>
        <w:t>SECTION C</w:t>
      </w:r>
    </w:p>
    <w:p w:rsidR="00065774" w:rsidRPr="00560045" w:rsidRDefault="00065774">
      <w:pPr>
        <w:ind w:left="540" w:hanging="425"/>
        <w:rPr>
          <w:rFonts w:ascii="New Century Schoolbook" w:hAnsi="New Century Schoolbook"/>
        </w:rPr>
      </w:pPr>
    </w:p>
    <w:p w:rsidR="00065774" w:rsidRPr="00560045" w:rsidRDefault="00080882">
      <w:pPr>
        <w:pStyle w:val="Heading1"/>
        <w:ind w:left="540"/>
        <w:rPr>
          <w:rFonts w:ascii="New Century Schoolbook" w:hAnsi="New Century Schoolbook"/>
          <w:b/>
          <w:sz w:val="36"/>
          <w:szCs w:val="36"/>
        </w:rPr>
      </w:pPr>
      <w:r w:rsidRPr="00560045">
        <w:rPr>
          <w:rFonts w:ascii="New Century Schoolbook" w:hAnsi="New Century Schoolbook"/>
          <w:b/>
          <w:sz w:val="36"/>
          <w:szCs w:val="36"/>
        </w:rPr>
        <w:t>Équipement et règles de s</w:t>
      </w:r>
      <w:r w:rsidR="00065774" w:rsidRPr="00560045">
        <w:rPr>
          <w:rFonts w:ascii="New Century Schoolbook" w:hAnsi="New Century Schoolbook"/>
          <w:b/>
          <w:sz w:val="36"/>
          <w:szCs w:val="36"/>
        </w:rPr>
        <w:t>écurité</w:t>
      </w:r>
    </w:p>
    <w:p w:rsidR="00065774" w:rsidRPr="00560045" w:rsidRDefault="00065774">
      <w:pPr>
        <w:ind w:left="540" w:hanging="425"/>
        <w:rPr>
          <w:rFonts w:ascii="New Century Schoolbook" w:hAnsi="New Century Schoolbook"/>
        </w:rPr>
      </w:pPr>
    </w:p>
    <w:p w:rsidR="00065774" w:rsidRPr="00560045" w:rsidRDefault="00065774">
      <w:pPr>
        <w:tabs>
          <w:tab w:val="left" w:pos="1440"/>
        </w:tabs>
        <w:ind w:left="540"/>
        <w:rPr>
          <w:sz w:val="24"/>
          <w:szCs w:val="24"/>
        </w:rPr>
      </w:pPr>
      <w:r w:rsidRPr="00560045">
        <w:rPr>
          <w:sz w:val="24"/>
          <w:szCs w:val="24"/>
        </w:rPr>
        <w:t>La compétition a lieu entre des dynamophiles regroupés en fonction de leur sexe, de leur poids et de leur âge. La compétition est ouverte aux athlètes de seize ans et plus.</w:t>
      </w:r>
    </w:p>
    <w:p w:rsidR="00065774" w:rsidRPr="00560045" w:rsidRDefault="00065774">
      <w:pPr>
        <w:tabs>
          <w:tab w:val="left" w:pos="1440"/>
        </w:tabs>
        <w:ind w:left="540" w:hanging="2160"/>
        <w:rPr>
          <w:b/>
          <w:spacing w:val="-2"/>
          <w:sz w:val="24"/>
          <w:szCs w:val="24"/>
        </w:rPr>
      </w:pPr>
    </w:p>
    <w:p w:rsidR="00065774" w:rsidRPr="00611471" w:rsidRDefault="00065774">
      <w:pPr>
        <w:pStyle w:val="BodyText"/>
        <w:ind w:left="540"/>
        <w:rPr>
          <w:rFonts w:ascii="Times New Roman" w:hAnsi="Times New Roman"/>
          <w:sz w:val="24"/>
          <w:szCs w:val="24"/>
        </w:rPr>
      </w:pPr>
      <w:r w:rsidRPr="00560045">
        <w:rPr>
          <w:rFonts w:ascii="Times New Roman" w:hAnsi="Times New Roman"/>
          <w:sz w:val="24"/>
          <w:szCs w:val="24"/>
        </w:rPr>
        <w:t>Les athlètes qui prennent part à l’épreuve de flexion des jambes doivent concourir en dynamophilie depuis au moins deux ans et produire une autorisation écrite de leur médecin. Les athlètes chez qui on a diagnostiqué une subluxation atloïdo-axoïdienne ne sont pas admissibles à l’épreuve de flexion des jambes.</w:t>
      </w:r>
    </w:p>
    <w:sectPr w:rsidR="00065774" w:rsidRPr="00611471" w:rsidSect="00523438">
      <w:headerReference w:type="default" r:id="rId7"/>
      <w:footerReference w:type="default" r:id="rId8"/>
      <w:pgSz w:w="12240" w:h="15840" w:code="1"/>
      <w:pgMar w:top="1152" w:right="1440" w:bottom="1440" w:left="1440" w:header="720" w:footer="432"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33" w:rsidRDefault="00D07633">
      <w:r>
        <w:separator/>
      </w:r>
    </w:p>
  </w:endnote>
  <w:endnote w:type="continuationSeparator" w:id="0">
    <w:p w:rsidR="00D07633" w:rsidRDefault="00D0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74" w:rsidRDefault="00B022B8">
    <w:pPr>
      <w:pStyle w:val="Footer"/>
      <w:tabs>
        <w:tab w:val="clear" w:pos="4320"/>
        <w:tab w:val="center" w:pos="3240"/>
      </w:tabs>
      <w:rPr>
        <w:rFonts w:ascii="NewCenturySchlbk" w:hAnsi="NewCenturySchlbk"/>
        <w:sz w:val="18"/>
        <w:lang w:val="en-US"/>
      </w:rPr>
    </w:pPr>
    <w:r>
      <w:rPr>
        <w:rFonts w:ascii="NewCenturySchlbk" w:hAnsi="NewCenturySchlbk"/>
        <w:sz w:val="18"/>
        <w:lang w:val="en-US"/>
      </w:rPr>
      <w:t>20</w:t>
    </w:r>
    <w:r w:rsidR="00611471">
      <w:rPr>
        <w:rFonts w:ascii="NewCenturySchlbk" w:hAnsi="NewCenturySchlbk"/>
        <w:sz w:val="18"/>
        <w:lang w:val="en-US"/>
      </w:rPr>
      <w:t>1</w:t>
    </w:r>
    <w:r w:rsidR="006A17B3">
      <w:rPr>
        <w:rFonts w:ascii="NewCenturySchlbk" w:hAnsi="NewCenturySchlbk"/>
        <w:sz w:val="18"/>
        <w:lang w:val="en-US"/>
      </w:rPr>
      <w:t>5</w:t>
    </w:r>
    <w:r w:rsidR="00065774">
      <w:rPr>
        <w:rFonts w:ascii="NewCenturySchlbk" w:hAnsi="NewCenturySchlbk"/>
        <w:sz w:val="18"/>
        <w:lang w:val="en-US"/>
      </w:rPr>
      <w:tab/>
      <w:t>DN-</w:t>
    </w:r>
    <w:r w:rsidR="00065774">
      <w:rPr>
        <w:rStyle w:val="PageNumber"/>
        <w:rFonts w:ascii="NewCenturySchlbk" w:hAnsi="NewCenturySchlbk"/>
        <w:sz w:val="18"/>
      </w:rPr>
      <w:fldChar w:fldCharType="begin"/>
    </w:r>
    <w:r w:rsidR="00065774">
      <w:rPr>
        <w:rStyle w:val="PageNumber"/>
        <w:rFonts w:ascii="NewCenturySchlbk" w:hAnsi="NewCenturySchlbk"/>
        <w:sz w:val="18"/>
      </w:rPr>
      <w:instrText xml:space="preserve"> PAGE </w:instrText>
    </w:r>
    <w:r w:rsidR="00065774">
      <w:rPr>
        <w:rStyle w:val="PageNumber"/>
        <w:rFonts w:ascii="NewCenturySchlbk" w:hAnsi="NewCenturySchlbk"/>
        <w:sz w:val="18"/>
      </w:rPr>
      <w:fldChar w:fldCharType="separate"/>
    </w:r>
    <w:r w:rsidR="006A17B3">
      <w:rPr>
        <w:rStyle w:val="PageNumber"/>
        <w:rFonts w:ascii="NewCenturySchlbk" w:hAnsi="NewCenturySchlbk"/>
        <w:noProof/>
        <w:sz w:val="18"/>
      </w:rPr>
      <w:t>1</w:t>
    </w:r>
    <w:r w:rsidR="00065774">
      <w:rPr>
        <w:rStyle w:val="PageNumber"/>
        <w:rFonts w:ascii="NewCenturySchlbk" w:hAnsi="NewCenturySchlbk"/>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33" w:rsidRDefault="00D07633">
      <w:r>
        <w:separator/>
      </w:r>
    </w:p>
  </w:footnote>
  <w:footnote w:type="continuationSeparator" w:id="0">
    <w:p w:rsidR="00D07633" w:rsidRDefault="00D0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30" w:rsidRPr="00563694" w:rsidRDefault="00281971" w:rsidP="00480AE4">
    <w:r>
      <w:rPr>
        <w:noProof/>
        <w:lang w:val="en-US"/>
      </w:rPr>
      <w:drawing>
        <wp:inline distT="0" distB="0" distL="0" distR="0" wp14:anchorId="547A644F" wp14:editId="766703B6">
          <wp:extent cx="2070100" cy="533400"/>
          <wp:effectExtent l="0" t="0" r="0" b="0"/>
          <wp:docPr id="3" name="Image 3" descr="SO_Canada_Mark_2-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Canada_Mark_2-Lin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533400"/>
                  </a:xfrm>
                  <a:prstGeom prst="rect">
                    <a:avLst/>
                  </a:prstGeom>
                  <a:noFill/>
                  <a:ln>
                    <a:noFill/>
                  </a:ln>
                </pic:spPr>
              </pic:pic>
            </a:graphicData>
          </a:graphic>
        </wp:inline>
      </w:drawing>
    </w:r>
    <w:r w:rsidR="00250F30">
      <w:tab/>
    </w:r>
    <w:r w:rsidR="00250F30">
      <w:tab/>
      <w:t xml:space="preserve"> </w:t>
    </w:r>
    <w:r w:rsidR="00D27030" w:rsidRPr="00563694">
      <w:t>Olympiques spéciaux Canada – Règlements d</w:t>
    </w:r>
    <w:r w:rsidR="00250F30">
      <w:t>es sports d’été</w:t>
    </w:r>
  </w:p>
  <w:p w:rsidR="00D27030" w:rsidRPr="00563694" w:rsidRDefault="00480AE4" w:rsidP="00D27030">
    <w:pPr>
      <w:pStyle w:val="Header"/>
      <w:jc w:val="right"/>
      <w:rPr>
        <w:b/>
      </w:rPr>
    </w:pPr>
    <w:r>
      <w:rPr>
        <w:b/>
      </w:rPr>
      <w:tab/>
    </w:r>
    <w:r w:rsidR="00250F30">
      <w:rPr>
        <w:b/>
      </w:rPr>
      <w:t>La d</w:t>
    </w:r>
    <w:r w:rsidR="00D27030">
      <w:rPr>
        <w:b/>
      </w:rPr>
      <w:t>ynamophilie</w:t>
    </w:r>
  </w:p>
  <w:p w:rsidR="00D27030" w:rsidRDefault="00D27030" w:rsidP="00D27030">
    <w:pPr>
      <w:pStyle w:val="Header"/>
      <w:tabs>
        <w:tab w:val="left" w:pos="1300"/>
      </w:tabs>
      <w:rPr>
        <w:rFonts w:ascii="Calibri" w:hAnsi="Calibri"/>
        <w:b/>
      </w:rPr>
    </w:pPr>
    <w:r>
      <w:rPr>
        <w:rFonts w:ascii="Calibri" w:hAnsi="Calibri"/>
        <w:b/>
      </w:rPr>
      <w:tab/>
    </w:r>
  </w:p>
  <w:p w:rsidR="00065774" w:rsidRDefault="000657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22D5"/>
    <w:multiLevelType w:val="singleLevel"/>
    <w:tmpl w:val="D6900A7A"/>
    <w:lvl w:ilvl="0">
      <w:start w:val="5"/>
      <w:numFmt w:val="decimal"/>
      <w:lvlText w:val="%1."/>
      <w:lvlJc w:val="left"/>
      <w:pPr>
        <w:tabs>
          <w:tab w:val="num" w:pos="420"/>
        </w:tabs>
        <w:ind w:left="420" w:hanging="420"/>
      </w:pPr>
      <w:rPr>
        <w:rFonts w:hint="default"/>
      </w:rPr>
    </w:lvl>
  </w:abstractNum>
  <w:abstractNum w:abstractNumId="1" w15:restartNumberingAfterBreak="0">
    <w:nsid w:val="23873425"/>
    <w:multiLevelType w:val="hybridMultilevel"/>
    <w:tmpl w:val="F29AC5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98F1245"/>
    <w:multiLevelType w:val="hybridMultilevel"/>
    <w:tmpl w:val="A0DA7D8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4617D0B"/>
    <w:multiLevelType w:val="hybridMultilevel"/>
    <w:tmpl w:val="384E81B6"/>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5C83DF4"/>
    <w:multiLevelType w:val="hybridMultilevel"/>
    <w:tmpl w:val="099E728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537732C4"/>
    <w:multiLevelType w:val="hybridMultilevel"/>
    <w:tmpl w:val="933AAA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69140F7"/>
    <w:multiLevelType w:val="hybridMultilevel"/>
    <w:tmpl w:val="2048BE3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8AB62F9"/>
    <w:multiLevelType w:val="hybridMultilevel"/>
    <w:tmpl w:val="72DAAC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FB"/>
    <w:rsid w:val="000628FB"/>
    <w:rsid w:val="00065774"/>
    <w:rsid w:val="00080882"/>
    <w:rsid w:val="00096F16"/>
    <w:rsid w:val="001B0683"/>
    <w:rsid w:val="00250F30"/>
    <w:rsid w:val="00281971"/>
    <w:rsid w:val="002E4AD9"/>
    <w:rsid w:val="00480AE4"/>
    <w:rsid w:val="00523438"/>
    <w:rsid w:val="00560045"/>
    <w:rsid w:val="00594AC5"/>
    <w:rsid w:val="00611471"/>
    <w:rsid w:val="0067663F"/>
    <w:rsid w:val="00693193"/>
    <w:rsid w:val="006A17B3"/>
    <w:rsid w:val="00862312"/>
    <w:rsid w:val="00A83ED8"/>
    <w:rsid w:val="00B022B8"/>
    <w:rsid w:val="00B07F27"/>
    <w:rsid w:val="00B81126"/>
    <w:rsid w:val="00D07633"/>
    <w:rsid w:val="00D27030"/>
    <w:rsid w:val="00E15FEF"/>
    <w:rsid w:val="00FC58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E8129"/>
  <w15:docId w15:val="{412E0140-D26F-404A-A306-D663A967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425" w:hanging="425"/>
      <w:jc w:val="center"/>
      <w:outlineLvl w:val="0"/>
    </w:pPr>
    <w:rPr>
      <w:sz w:val="28"/>
    </w:rPr>
  </w:style>
  <w:style w:type="paragraph" w:styleId="Heading2">
    <w:name w:val="heading 2"/>
    <w:basedOn w:val="Normal"/>
    <w:next w:val="Normal"/>
    <w:qFormat/>
    <w:pPr>
      <w:keepNext/>
      <w:ind w:left="425" w:hanging="425"/>
      <w:jc w:val="center"/>
      <w:outlineLvl w:val="1"/>
    </w:pPr>
    <w:rPr>
      <w:rFonts w:ascii="NewCenturySchlbk" w:hAnsi="NewCenturySchlbk"/>
      <w:i/>
    </w:rPr>
  </w:style>
  <w:style w:type="paragraph" w:styleId="Heading3">
    <w:name w:val="heading 3"/>
    <w:basedOn w:val="Normal"/>
    <w:next w:val="Normal"/>
    <w:qFormat/>
    <w:pPr>
      <w:keepNext/>
      <w:jc w:val="center"/>
      <w:outlineLvl w:val="2"/>
    </w:pPr>
    <w:rPr>
      <w:rFonts w:ascii="NewCenturySchlbk" w:hAnsi="NewCenturySchlbk"/>
      <w:i/>
    </w:rPr>
  </w:style>
  <w:style w:type="paragraph" w:styleId="Heading4">
    <w:name w:val="heading 4"/>
    <w:basedOn w:val="Normal"/>
    <w:next w:val="Normal"/>
    <w:qFormat/>
    <w:pPr>
      <w:keepNext/>
      <w:jc w:val="center"/>
      <w:outlineLvl w:val="3"/>
    </w:pPr>
    <w:rPr>
      <w:rFonts w:ascii="NewCenturySchlbk" w:hAnsi="NewCenturySchlbk"/>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styleId="Title">
    <w:name w:val="Title"/>
    <w:basedOn w:val="Normal"/>
    <w:qFormat/>
    <w:pPr>
      <w:ind w:left="284" w:hanging="284"/>
      <w:jc w:val="center"/>
    </w:pPr>
    <w:rPr>
      <w:b/>
      <w:sz w:val="22"/>
    </w:r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NewCenturySchlbk" w:hAnsi="NewCenturySchlbk"/>
    </w:rPr>
  </w:style>
  <w:style w:type="paragraph" w:styleId="BodyTextIndent">
    <w:name w:val="Body Text Indent"/>
    <w:basedOn w:val="Normal"/>
    <w:pPr>
      <w:ind w:left="360"/>
    </w:pPr>
    <w:rPr>
      <w:rFonts w:ascii="New Century Schoolbook" w:hAnsi="New Century Schoolbook"/>
    </w:rPr>
  </w:style>
  <w:style w:type="paragraph" w:styleId="BodyTextIndent2">
    <w:name w:val="Body Text Indent 2"/>
    <w:basedOn w:val="Normal"/>
    <w:pPr>
      <w:tabs>
        <w:tab w:val="left" w:pos="360"/>
      </w:tabs>
      <w:ind w:left="360" w:hanging="360"/>
    </w:pPr>
    <w:rPr>
      <w:color w:val="FF0000"/>
      <w:szCs w:val="24"/>
    </w:rPr>
  </w:style>
  <w:style w:type="paragraph" w:styleId="BodyTextIndent3">
    <w:name w:val="Body Text Indent 3"/>
    <w:basedOn w:val="Normal"/>
    <w:pPr>
      <w:tabs>
        <w:tab w:val="left" w:pos="900"/>
      </w:tabs>
      <w:ind w:left="900" w:hanging="360"/>
    </w:pPr>
    <w:rPr>
      <w:rFonts w:ascii="New Century Schoolbook" w:hAnsi="New Century Schoolbook"/>
    </w:rPr>
  </w:style>
  <w:style w:type="paragraph" w:styleId="BalloonText">
    <w:name w:val="Balloon Text"/>
    <w:basedOn w:val="Normal"/>
    <w:link w:val="BalloonTextChar"/>
    <w:rsid w:val="00250F30"/>
    <w:rPr>
      <w:rFonts w:ascii="Tahoma" w:hAnsi="Tahoma" w:cs="Tahoma"/>
      <w:sz w:val="16"/>
      <w:szCs w:val="16"/>
    </w:rPr>
  </w:style>
  <w:style w:type="character" w:customStyle="1" w:styleId="BalloonTextChar">
    <w:name w:val="Balloon Text Char"/>
    <w:basedOn w:val="DefaultParagraphFont"/>
    <w:link w:val="BalloonText"/>
    <w:rsid w:val="00250F30"/>
    <w:rPr>
      <w:rFonts w:ascii="Tahoma" w:hAnsi="Tahoma" w:cs="Tahoma"/>
      <w:sz w:val="16"/>
      <w:szCs w:val="16"/>
      <w:lang w:eastAsia="en-US"/>
    </w:rPr>
  </w:style>
  <w:style w:type="paragraph" w:styleId="ListParagraph">
    <w:name w:val="List Paragraph"/>
    <w:basedOn w:val="Normal"/>
    <w:uiPriority w:val="34"/>
    <w:qFormat/>
    <w:rsid w:val="001B0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606</Words>
  <Characters>3455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ARTICLE VI</vt:lpstr>
      <vt:lpstr>ARTICLE VI</vt:lpstr>
    </vt:vector>
  </TitlesOfParts>
  <Company>SOC</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VI</dc:title>
  <dc:creator>mcoulson</dc:creator>
  <cp:lastModifiedBy>Marian Coulson</cp:lastModifiedBy>
  <cp:revision>10</cp:revision>
  <cp:lastPrinted>2008-04-01T18:35:00Z</cp:lastPrinted>
  <dcterms:created xsi:type="dcterms:W3CDTF">2015-09-11T14:44:00Z</dcterms:created>
  <dcterms:modified xsi:type="dcterms:W3CDTF">2017-05-04T17:50:00Z</dcterms:modified>
</cp:coreProperties>
</file>